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07DE62" w14:textId="00D14D88" w:rsidR="00A36C49" w:rsidRPr="003D15AC" w:rsidRDefault="00A36C49" w:rsidP="00A36C49">
      <w:r>
        <w:rPr>
          <w:b/>
          <w:bCs/>
        </w:rPr>
        <w:t>Revised Scenarios:</w:t>
      </w:r>
    </w:p>
    <w:p w14:paraId="615A7E3A" w14:textId="77777777" w:rsidR="003D15AC" w:rsidRPr="003D15AC" w:rsidRDefault="003D15AC" w:rsidP="003D15AC">
      <w:r w:rsidRPr="003D15AC">
        <w:t>A revised scenario set, statistics, and SERT scenarios for 9/30/25 have been posted to </w:t>
      </w:r>
      <w:hyperlink r:id="rId5" w:tgtFrame="_blank" w:tooltip="https://urldefense.com/v3/__https:/naic.conning.com/scenariofiles__;!!KU0aI0smPj-H!mD14wOy0i3gE9w5UKvYNHMkuXIa2SLIY1fNCyqmtsLvucqSxXp1QY6f4aer-ToEeeRZoYWJMJIH8g5mKfg$" w:history="1">
        <w:r w:rsidRPr="003D15AC">
          <w:rPr>
            <w:rStyle w:val="Hyperlink"/>
          </w:rPr>
          <w:t>https://naic.conning.com/scenariofiles</w:t>
        </w:r>
      </w:hyperlink>
      <w:r w:rsidRPr="003D15AC">
        <w:t> (note that the scenario picking data remained the same). At the October 29</w:t>
      </w:r>
      <w:r w:rsidRPr="003D15AC">
        <w:rPr>
          <w:vertAlign w:val="superscript"/>
        </w:rPr>
        <w:t>th</w:t>
      </w:r>
      <w:r w:rsidRPr="003D15AC">
        <w:t> meeting of the GOES (E/A) Subgroup, a revised set of parameters for the corporate model was adopted to better reflect Targeting Criteria C1.T regarding steady-state excess bond fund returns (see </w:t>
      </w:r>
      <w:hyperlink r:id="rId6" w:tgtFrame="_blank" w:tooltip="https://urldefense.com/v3/__https://azspcngcms.blob.core.windows.net/sitecoremedia/project/naic/files/field-test-2024---general-documents/updated-targeting-criteria-and-evaluation-statistics-for-goes-field-test-032724.docx__;!!MS5OKI6N3roWhi3ZRg!Ukxla6w_Fyi4IOjcD95ZK3SAvulRFfyqnW9l4AkLZGbZHswW9QndSiRpnB7mLqZu6aYQ4RVoYMbRb18$" w:history="1">
        <w:r w:rsidRPr="003D15AC">
          <w:rPr>
            <w:rStyle w:val="Hyperlink"/>
          </w:rPr>
          <w:t>Targeting Criteria and Evaluation Statistics</w:t>
        </w:r>
      </w:hyperlink>
      <w:r w:rsidRPr="003D15AC">
        <w:t>). The revised 9/30/25 scenarios reflect these latest parameters. Please note that the 10/31/25 scenarios previously released are also reflective of the latest corporate model calibration. In addition to releasing the 11/30/25 scenarios according to the regular schedule, the NAIC will plan on re-releasing the 12/31/24, 3/31/25, and 6/30/25 with the latest corporate parameters in the coming weeks.</w:t>
      </w:r>
    </w:p>
    <w:p w14:paraId="67A96716" w14:textId="133607BB" w:rsidR="003D15AC" w:rsidRPr="003D15AC" w:rsidRDefault="003D15AC" w:rsidP="003D15AC"/>
    <w:p w14:paraId="68E4A609" w14:textId="77777777" w:rsidR="003D15AC" w:rsidRPr="003D15AC" w:rsidRDefault="003D15AC" w:rsidP="003D15AC">
      <w:r w:rsidRPr="003D15AC">
        <w:rPr>
          <w:b/>
          <w:bCs/>
        </w:rPr>
        <w:t>Statistical Report Enhancements:</w:t>
      </w:r>
    </w:p>
    <w:p w14:paraId="26C28874" w14:textId="77777777" w:rsidR="003D15AC" w:rsidRPr="003D15AC" w:rsidRDefault="003D15AC" w:rsidP="003D15AC">
      <w:r w:rsidRPr="003D15AC">
        <w:t xml:space="preserve">The following </w:t>
      </w:r>
      <w:proofErr w:type="gramStart"/>
      <w:r w:rsidRPr="003D15AC">
        <w:t>enhancements</w:t>
      </w:r>
      <w:proofErr w:type="gramEnd"/>
      <w:r w:rsidRPr="003D15AC">
        <w:t xml:space="preserve"> have been made to the GOES statistical reports:</w:t>
      </w:r>
    </w:p>
    <w:p w14:paraId="0FF9942C" w14:textId="77777777" w:rsidR="003D15AC" w:rsidRPr="003D15AC" w:rsidRDefault="003D15AC" w:rsidP="003D15AC">
      <w:pPr>
        <w:numPr>
          <w:ilvl w:val="0"/>
          <w:numId w:val="1"/>
        </w:numPr>
      </w:pPr>
      <w:r w:rsidRPr="003D15AC">
        <w:t>Basic Data Set Validation Report</w:t>
      </w:r>
    </w:p>
    <w:p w14:paraId="74B62124" w14:textId="77777777" w:rsidR="003D15AC" w:rsidRPr="003D15AC" w:rsidRDefault="003D15AC" w:rsidP="003D15AC">
      <w:pPr>
        <w:numPr>
          <w:ilvl w:val="1"/>
          <w:numId w:val="1"/>
        </w:numPr>
      </w:pPr>
      <w:r w:rsidRPr="003D15AC">
        <w:t>Year over year and Geometric options have been added to the “Returns” section of the Validation report.</w:t>
      </w:r>
    </w:p>
    <w:p w14:paraId="0A225506" w14:textId="77777777" w:rsidR="003D15AC" w:rsidRPr="003D15AC" w:rsidRDefault="003D15AC" w:rsidP="003D15AC">
      <w:pPr>
        <w:numPr>
          <w:ilvl w:val="0"/>
          <w:numId w:val="1"/>
        </w:numPr>
      </w:pPr>
      <w:r w:rsidRPr="003D15AC">
        <w:t>Basic Data Set Additional Statistics</w:t>
      </w:r>
    </w:p>
    <w:p w14:paraId="62246CDE" w14:textId="77777777" w:rsidR="003D15AC" w:rsidRPr="003D15AC" w:rsidRDefault="003D15AC" w:rsidP="003D15AC">
      <w:pPr>
        <w:numPr>
          <w:ilvl w:val="1"/>
          <w:numId w:val="1"/>
        </w:numPr>
      </w:pPr>
      <w:r w:rsidRPr="003D15AC">
        <w:t>Equity Income Percentiles – shows equity fund income percentiles by projection month</w:t>
      </w:r>
    </w:p>
    <w:p w14:paraId="2A716880" w14:textId="77777777" w:rsidR="003D15AC" w:rsidRPr="003D15AC" w:rsidRDefault="003D15AC" w:rsidP="003D15AC">
      <w:pPr>
        <w:numPr>
          <w:ilvl w:val="1"/>
          <w:numId w:val="1"/>
        </w:numPr>
      </w:pPr>
      <w:r w:rsidRPr="003D15AC">
        <w:t>Bond Spread Percentiles – shows bond fund spread percentiles by projection month</w:t>
      </w:r>
    </w:p>
    <w:p w14:paraId="5BC2C6E6" w14:textId="77777777" w:rsidR="003D15AC" w:rsidRPr="003D15AC" w:rsidRDefault="003D15AC" w:rsidP="003D15AC">
      <w:pPr>
        <w:numPr>
          <w:ilvl w:val="1"/>
          <w:numId w:val="1"/>
        </w:numPr>
      </w:pPr>
      <w:r w:rsidRPr="003D15AC">
        <w:t>Bond Excess Return – shows excess return percentiles by projection month</w:t>
      </w:r>
    </w:p>
    <w:p w14:paraId="4EE5F0E0" w14:textId="77777777" w:rsidR="00CB35F0" w:rsidRDefault="00CB35F0"/>
    <w:sectPr w:rsidR="00CB35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771050"/>
    <w:multiLevelType w:val="multilevel"/>
    <w:tmpl w:val="F9027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9756767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5AC"/>
    <w:rsid w:val="0000554C"/>
    <w:rsid w:val="003D15AC"/>
    <w:rsid w:val="00A36C49"/>
    <w:rsid w:val="00B808C9"/>
    <w:rsid w:val="00CB3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3E8D8A"/>
  <w15:chartTrackingRefBased/>
  <w15:docId w15:val="{A930096F-ABEE-4C49-92B4-1045245CE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D15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15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15A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15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15A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15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15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15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15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15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15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15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15A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15A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15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15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15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15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15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15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15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15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15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15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15A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15A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15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15A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15A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D15A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15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rldefense.com/v3/__https:/azspcngcms.blob.core.windows.net/sitecoremedia/project/naic/files/field-test-2024---general-documents/updated-targeting-criteria-and-evaluation-statistics-for-goes-field-test-032724.docx__;!!MS5OKI6N3roWhi3ZRg!Ukxla6w_Fyi4IOjcD95ZK3SAvulRFfyqnW9l4AkLZGbZHswW9QndSiRpnB7mLqZu6aYQ4RVoYMbRb18$" TargetMode="External"/><Relationship Id="rId5" Type="http://schemas.openxmlformats.org/officeDocument/2006/relationships/hyperlink" Target="https://urldefense.com/v3/__https:/naic.conning.com/scenariofiles__;!!KU0aI0smPj-H!mD14wOy0i3gE9w5UKvYNHMkuXIa2SLIY1fNCyqmtsLvucqSxXp1QY6f4aer-ToEeeRZoYWJMJIH8g5mKfg$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363</Words>
  <Characters>2072</Characters>
  <Application>Microsoft Office Word</Application>
  <DocSecurity>0</DocSecurity>
  <Lines>17</Lines>
  <Paragraphs>4</Paragraphs>
  <ScaleCrop>false</ScaleCrop>
  <Company/>
  <LinksUpToDate>false</LinksUpToDate>
  <CharactersWithSpaces>2431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Finn</dc:creator>
  <cp:keywords/>
  <dc:description/>
  <cp:lastModifiedBy>Daniel Finn</cp:lastModifiedBy>
  <cp:revision>2</cp:revision>
  <dcterms:created xsi:type="dcterms:W3CDTF">2025-11-25T16:43:00Z</dcterms:created>
  <dcterms:modified xsi:type="dcterms:W3CDTF">2025-11-25T16:46:00Z</dcterms:modified>
</cp:coreProperties>
</file>